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B46D2" w14:textId="77777777" w:rsidR="001E4556" w:rsidRDefault="001E4556" w:rsidP="001E4556"/>
    <w:p w14:paraId="16AEA19C" w14:textId="77777777" w:rsidR="001E4556" w:rsidRDefault="001E4556" w:rsidP="001E4556"/>
    <w:p w14:paraId="2FABB31F" w14:textId="77777777" w:rsidR="001E4556" w:rsidRDefault="001E4556" w:rsidP="001E4556"/>
    <w:p w14:paraId="44F4DF5F" w14:textId="77777777" w:rsidR="001E4556" w:rsidRDefault="001E4556" w:rsidP="001E4556"/>
    <w:p w14:paraId="45ED90F2" w14:textId="77777777" w:rsidR="001E4556" w:rsidRDefault="001E4556" w:rsidP="001E4556"/>
    <w:p w14:paraId="02AF3089" w14:textId="2294C392" w:rsidR="001E4556" w:rsidRDefault="001E4556" w:rsidP="001E4556"/>
    <w:p w14:paraId="401F8BF6" w14:textId="77777777" w:rsidR="001E4556" w:rsidRDefault="001E4556" w:rsidP="001E4556"/>
    <w:p w14:paraId="27435D6D" w14:textId="77777777" w:rsidR="001E4556" w:rsidRDefault="001E4556" w:rsidP="001E4556"/>
    <w:p w14:paraId="375C4A9E" w14:textId="77777777" w:rsidR="001E4556" w:rsidRDefault="001E4556" w:rsidP="001E4556"/>
    <w:p w14:paraId="31DC4D96" w14:textId="77777777" w:rsidR="001E4556" w:rsidRDefault="001E4556" w:rsidP="001E4556"/>
    <w:p w14:paraId="70B78463" w14:textId="77777777" w:rsidR="001E4556" w:rsidRDefault="001E4556" w:rsidP="001E4556">
      <w:pPr>
        <w:jc w:val="center"/>
      </w:pPr>
    </w:p>
    <w:p w14:paraId="499EDD0F" w14:textId="6B993C9F" w:rsidR="001E4556" w:rsidRDefault="001E4556" w:rsidP="001E4556">
      <w:pPr>
        <w:jc w:val="center"/>
      </w:pPr>
      <w:r>
        <w:t>Assessment for Coaching</w:t>
      </w:r>
    </w:p>
    <w:p w14:paraId="43184250" w14:textId="7EFBDFB4" w:rsidR="001E4556" w:rsidRDefault="001E4556" w:rsidP="001E4556">
      <w:pPr>
        <w:jc w:val="center"/>
      </w:pPr>
      <w:r>
        <w:t>Student Name</w:t>
      </w:r>
    </w:p>
    <w:p w14:paraId="0C69B13C" w14:textId="40F3438D" w:rsidR="001E4556" w:rsidRDefault="001E4556" w:rsidP="001E4556">
      <w:pPr>
        <w:jc w:val="center"/>
      </w:pPr>
      <w:r>
        <w:t>University Affiliation</w:t>
      </w:r>
    </w:p>
    <w:p w14:paraId="4F734074" w14:textId="72303AA0" w:rsidR="001E4556" w:rsidRDefault="001E4556" w:rsidP="001E4556">
      <w:pPr>
        <w:jc w:val="center"/>
      </w:pPr>
      <w:r>
        <w:t>Date of Submission</w:t>
      </w:r>
    </w:p>
    <w:p w14:paraId="3F45FFAA" w14:textId="154920A1" w:rsidR="001E4556" w:rsidRDefault="001E4556" w:rsidP="001E4556"/>
    <w:p w14:paraId="3175862C" w14:textId="04A91CFB" w:rsidR="001E4556" w:rsidRDefault="001E4556" w:rsidP="001E4556"/>
    <w:p w14:paraId="66C9783D" w14:textId="5A1698B2" w:rsidR="001E4556" w:rsidRDefault="001E4556" w:rsidP="001E4556"/>
    <w:p w14:paraId="2FECCB04" w14:textId="2A3536F0" w:rsidR="001E4556" w:rsidRDefault="001E4556" w:rsidP="001E4556"/>
    <w:p w14:paraId="568970E6" w14:textId="71BD0DFB" w:rsidR="001E4556" w:rsidRDefault="001E4556" w:rsidP="001E4556"/>
    <w:p w14:paraId="7CCE3BA2" w14:textId="0ED2B3F6" w:rsidR="001E4556" w:rsidRDefault="001E4556" w:rsidP="001E4556"/>
    <w:p w14:paraId="444E8C74" w14:textId="146F1ECD" w:rsidR="001E4556" w:rsidRDefault="001E4556" w:rsidP="001E4556"/>
    <w:p w14:paraId="05FD5E17" w14:textId="640F53FF" w:rsidR="001E4556" w:rsidRDefault="001E4556" w:rsidP="001E4556"/>
    <w:p w14:paraId="6B6412AB" w14:textId="2063F315" w:rsidR="006F1444" w:rsidRPr="0031750C" w:rsidRDefault="006F1444" w:rsidP="0031750C">
      <w:pPr>
        <w:jc w:val="center"/>
        <w:rPr>
          <w:b/>
          <w:bCs/>
        </w:rPr>
      </w:pPr>
      <w:r w:rsidRPr="0031750C">
        <w:rPr>
          <w:b/>
          <w:bCs/>
        </w:rPr>
        <w:lastRenderedPageBreak/>
        <w:t>Assessments used for Coaching</w:t>
      </w:r>
    </w:p>
    <w:p w14:paraId="35713FA7" w14:textId="4A8CFC84" w:rsidR="006F1444" w:rsidRDefault="006F1444" w:rsidP="0031750C">
      <w:pPr>
        <w:ind w:firstLine="720"/>
      </w:pPr>
      <w:r>
        <w:t xml:space="preserve">During the </w:t>
      </w:r>
      <w:r w:rsidR="00D83A2F">
        <w:t>Coaching process</w:t>
      </w:r>
      <w:r w:rsidR="0031750C">
        <w:t>, before</w:t>
      </w:r>
      <w:r>
        <w:t xml:space="preserve"> the coaching starts or during the </w:t>
      </w:r>
      <w:r w:rsidR="00D83A2F">
        <w:t>C</w:t>
      </w:r>
      <w:r>
        <w:t xml:space="preserve">oaching, </w:t>
      </w:r>
      <w:r w:rsidR="000852F3">
        <w:t xml:space="preserve">assessment </w:t>
      </w:r>
      <w:r w:rsidR="008B3FE6">
        <w:t>is</w:t>
      </w:r>
      <w:r w:rsidR="000852F3">
        <w:t xml:space="preserve"> used by coaches so that they create self-awareness, vision</w:t>
      </w:r>
      <w:r w:rsidR="00D83A2F">
        <w:t>,</w:t>
      </w:r>
      <w:r w:rsidR="000852F3">
        <w:t xml:space="preserve"> and goals with the client. </w:t>
      </w:r>
      <w:r w:rsidR="0061282E">
        <w:t xml:space="preserve">In simple terms, it is </w:t>
      </w:r>
      <w:r w:rsidR="00D83A2F">
        <w:t>essential</w:t>
      </w:r>
      <w:r w:rsidR="0061282E">
        <w:t xml:space="preserve"> to note that assessment play</w:t>
      </w:r>
      <w:r w:rsidR="00D83A2F">
        <w:t>s a crucial role in helping the coach understand their client bett</w:t>
      </w:r>
      <w:r w:rsidR="0061282E">
        <w:t xml:space="preserve">er.  </w:t>
      </w:r>
      <w:r w:rsidR="00D83A2F">
        <w:t>The a</w:t>
      </w:r>
      <w:r w:rsidR="0061282E">
        <w:t xml:space="preserve">ssessment has been applied </w:t>
      </w:r>
      <w:r w:rsidR="00D83A2F">
        <w:t>to provide greater self-insight and self-awareness to the trainers' people</w:t>
      </w:r>
      <w:r w:rsidR="006827D3">
        <w:t xml:space="preserve"> (</w:t>
      </w:r>
      <w:r w:rsidR="006827D3" w:rsidRPr="00DF5F34">
        <w:rPr>
          <w:rFonts w:cs="Times New Roman"/>
          <w:color w:val="222222"/>
          <w:szCs w:val="24"/>
          <w:shd w:val="clear" w:color="auto" w:fill="FFFFFF"/>
        </w:rPr>
        <w:t>Brüggen</w:t>
      </w:r>
      <w:r w:rsidR="006827D3">
        <w:rPr>
          <w:rFonts w:cs="Times New Roman"/>
          <w:color w:val="222222"/>
          <w:szCs w:val="24"/>
          <w:shd w:val="clear" w:color="auto" w:fill="FFFFFF"/>
        </w:rPr>
        <w:t xml:space="preserve"> et al., 2017)</w:t>
      </w:r>
      <w:r w:rsidR="00DF4BE8">
        <w:t xml:space="preserve">. On the </w:t>
      </w:r>
      <w:r w:rsidR="00D83A2F">
        <w:t xml:space="preserve">client's side, assessment is </w:t>
      </w:r>
      <w:r w:rsidR="00434876">
        <w:t>essential</w:t>
      </w:r>
      <w:r w:rsidR="00D83A2F">
        <w:t xml:space="preserve"> as it helps clients organize their self-perceptions and create</w:t>
      </w:r>
      <w:r w:rsidR="009164DE">
        <w:t xml:space="preserve"> actionable goals that are a complete understanding of themselves. </w:t>
      </w:r>
      <w:r w:rsidR="004F7DD1">
        <w:t xml:space="preserve">However, it is </w:t>
      </w:r>
      <w:r w:rsidR="00961701">
        <w:t>vit</w:t>
      </w:r>
      <w:r w:rsidR="00D83A2F">
        <w:t>al</w:t>
      </w:r>
      <w:r w:rsidR="004F7DD1">
        <w:t xml:space="preserve"> to note that not all assessment</w:t>
      </w:r>
      <w:r w:rsidR="008B3F41">
        <w:t>s</w:t>
      </w:r>
      <w:r w:rsidR="004F7DD1">
        <w:t xml:space="preserve"> are made equal</w:t>
      </w:r>
      <w:r w:rsidR="00D83A2F">
        <w:t>. Hence,</w:t>
      </w:r>
      <w:r w:rsidR="004F7DD1">
        <w:t xml:space="preserve"> </w:t>
      </w:r>
      <w:r w:rsidR="00D83A2F">
        <w:t>the coach needs</w:t>
      </w:r>
      <w:r w:rsidR="004F7DD1">
        <w:t xml:space="preserve"> to choose the assessment that has validity and reliability according to the study that is taking place. </w:t>
      </w:r>
      <w:r w:rsidR="00E54623">
        <w:t xml:space="preserve">As a coach, it is </w:t>
      </w:r>
      <w:r w:rsidR="00D83A2F">
        <w:t>essential</w:t>
      </w:r>
      <w:r w:rsidR="00E54623">
        <w:t xml:space="preserve"> to use an assessment that has been well researched and </w:t>
      </w:r>
      <w:r w:rsidR="00D714AA">
        <w:t>validated for the study</w:t>
      </w:r>
      <w:r w:rsidR="00194D23">
        <w:t xml:space="preserve"> (</w:t>
      </w:r>
      <w:r w:rsidR="00194D23" w:rsidRPr="00DF5F34">
        <w:rPr>
          <w:rFonts w:cs="Times New Roman"/>
          <w:color w:val="222222"/>
          <w:szCs w:val="24"/>
          <w:shd w:val="clear" w:color="auto" w:fill="FFFFFF"/>
        </w:rPr>
        <w:t>Brüggen</w:t>
      </w:r>
      <w:r w:rsidR="00194D23">
        <w:rPr>
          <w:rFonts w:cs="Times New Roman"/>
          <w:color w:val="222222"/>
          <w:szCs w:val="24"/>
          <w:shd w:val="clear" w:color="auto" w:fill="FFFFFF"/>
        </w:rPr>
        <w:t xml:space="preserve"> et al., 2017). </w:t>
      </w:r>
    </w:p>
    <w:p w14:paraId="095207D6" w14:textId="1669AD24" w:rsidR="00124BA5" w:rsidRDefault="00E167D9" w:rsidP="00124BA5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>
        <w:t xml:space="preserve">In addition to the same, it is </w:t>
      </w:r>
      <w:r w:rsidR="00D83A2F">
        <w:t>essential</w:t>
      </w:r>
      <w:r>
        <w:t xml:space="preserve"> that the coach only uses the </w:t>
      </w:r>
      <w:r w:rsidR="00AB1569">
        <w:t>assessment</w:t>
      </w:r>
      <w:r>
        <w:t xml:space="preserve"> </w:t>
      </w:r>
      <w:r w:rsidR="00225A02">
        <w:t>for its</w:t>
      </w:r>
      <w:r>
        <w:t xml:space="preserve"> purposes for </w:t>
      </w:r>
      <w:r w:rsidR="00D83A2F">
        <w:t xml:space="preserve">an </w:t>
      </w:r>
      <w:r>
        <w:t xml:space="preserve">optimal outcome. </w:t>
      </w:r>
      <w:r w:rsidR="00AB1569">
        <w:t xml:space="preserve">According to </w:t>
      </w:r>
      <w:r w:rsidR="00225A02">
        <w:t xml:space="preserve">Meg Moore, there </w:t>
      </w:r>
      <w:r w:rsidR="00D83A2F">
        <w:t>is</w:t>
      </w:r>
      <w:r w:rsidR="00225A02">
        <w:t xml:space="preserve"> 13 well-being assessment that a coach can use. </w:t>
      </w:r>
      <w:r w:rsidR="00DF5F34">
        <w:t>These assessments</w:t>
      </w:r>
      <w:r w:rsidR="00225A02">
        <w:t xml:space="preserve"> include </w:t>
      </w:r>
      <w:r w:rsidR="00110938">
        <w:t xml:space="preserve">six dimensions of wellness, Mindful attention awareness scale (MAAS), the wheel of life, self-compassion scale, values in actions (VIA) signature strength questionnaire, </w:t>
      </w:r>
      <w:r w:rsidR="00422661">
        <w:t>positivity ratio, DISC (Dominance, Influence, steadiness</w:t>
      </w:r>
      <w:r w:rsidR="00D83A2F">
        <w:t>,</w:t>
      </w:r>
      <w:r w:rsidR="00422661">
        <w:t xml:space="preserve"> and compliance</w:t>
      </w:r>
      <w:r w:rsidR="00DF5F34">
        <w:t>), transtheoretical</w:t>
      </w:r>
      <w:r w:rsidR="00422661">
        <w:t xml:space="preserve"> model of change, five-fact mindfulness scale, decisional balance tool and quickie well-being assessment</w:t>
      </w:r>
      <w:r w:rsidR="00DF5F34">
        <w:t xml:space="preserve"> (</w:t>
      </w:r>
      <w:r w:rsidR="00DF5F34" w:rsidRPr="00DF5F34">
        <w:rPr>
          <w:rFonts w:cs="Times New Roman"/>
          <w:color w:val="222222"/>
          <w:szCs w:val="24"/>
          <w:shd w:val="clear" w:color="auto" w:fill="FFFFFF"/>
        </w:rPr>
        <w:t>Peña-López,</w:t>
      </w:r>
      <w:r w:rsidR="00DF5F34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DF5F34" w:rsidRPr="00DF5F34">
        <w:rPr>
          <w:rFonts w:cs="Times New Roman"/>
          <w:color w:val="222222"/>
          <w:szCs w:val="24"/>
          <w:shd w:val="clear" w:color="auto" w:fill="FFFFFF"/>
        </w:rPr>
        <w:t>2017).</w:t>
      </w:r>
      <w:r w:rsidR="005F1A5F">
        <w:rPr>
          <w:rFonts w:cs="Times New Roman"/>
          <w:color w:val="222222"/>
          <w:szCs w:val="24"/>
          <w:shd w:val="clear" w:color="auto" w:fill="FFFFFF"/>
        </w:rPr>
        <w:t xml:space="preserve"> All </w:t>
      </w:r>
      <w:r w:rsidR="00620CBC">
        <w:rPr>
          <w:rFonts w:cs="Times New Roman"/>
          <w:color w:val="222222"/>
          <w:szCs w:val="24"/>
          <w:shd w:val="clear" w:color="auto" w:fill="FFFFFF"/>
        </w:rPr>
        <w:t>these assessments</w:t>
      </w:r>
      <w:r w:rsidR="005F1A5F">
        <w:rPr>
          <w:rFonts w:cs="Times New Roman"/>
          <w:color w:val="222222"/>
          <w:szCs w:val="24"/>
          <w:shd w:val="clear" w:color="auto" w:fill="FFFFFF"/>
        </w:rPr>
        <w:t xml:space="preserve"> are </w:t>
      </w:r>
      <w:r w:rsidR="00D83A2F">
        <w:rPr>
          <w:rFonts w:cs="Times New Roman"/>
          <w:color w:val="222222"/>
          <w:szCs w:val="24"/>
          <w:shd w:val="clear" w:color="auto" w:fill="FFFFFF"/>
        </w:rPr>
        <w:t>essential</w:t>
      </w:r>
      <w:r w:rsidR="005F1A5F">
        <w:rPr>
          <w:rFonts w:cs="Times New Roman"/>
          <w:color w:val="222222"/>
          <w:szCs w:val="24"/>
          <w:shd w:val="clear" w:color="auto" w:fill="FFFFFF"/>
        </w:rPr>
        <w:t xml:space="preserve"> and known for being used in different situations. Hence, </w:t>
      </w:r>
      <w:r w:rsidR="00D83A2F">
        <w:rPr>
          <w:rFonts w:cs="Times New Roman"/>
          <w:color w:val="222222"/>
          <w:szCs w:val="24"/>
          <w:shd w:val="clear" w:color="auto" w:fill="FFFFFF"/>
        </w:rPr>
        <w:t>the coach must focu</w:t>
      </w:r>
      <w:r w:rsidR="005F1A5F">
        <w:rPr>
          <w:rFonts w:cs="Times New Roman"/>
          <w:color w:val="222222"/>
          <w:szCs w:val="24"/>
          <w:shd w:val="clear" w:color="auto" w:fill="FFFFFF"/>
        </w:rPr>
        <w:t xml:space="preserve">s on using the right assessment for the right purpose. </w:t>
      </w:r>
    </w:p>
    <w:p w14:paraId="0C8025BB" w14:textId="2F07E345" w:rsidR="00124BA5" w:rsidRPr="00B675BB" w:rsidRDefault="00124BA5" w:rsidP="00B675BB">
      <w:pPr>
        <w:jc w:val="center"/>
        <w:rPr>
          <w:rFonts w:cs="Times New Roman"/>
          <w:b/>
          <w:bCs/>
          <w:color w:val="222222"/>
          <w:szCs w:val="24"/>
          <w:shd w:val="clear" w:color="auto" w:fill="FFFFFF"/>
        </w:rPr>
      </w:pPr>
      <w:r w:rsidRPr="00B675BB">
        <w:rPr>
          <w:rFonts w:cs="Times New Roman"/>
          <w:b/>
          <w:bCs/>
          <w:color w:val="222222"/>
          <w:szCs w:val="24"/>
          <w:shd w:val="clear" w:color="auto" w:fill="FFFFFF"/>
        </w:rPr>
        <w:t>Decisional Balance Tool</w:t>
      </w:r>
    </w:p>
    <w:p w14:paraId="1572B834" w14:textId="63B1CA48" w:rsidR="00BF3E74" w:rsidRDefault="004E4282" w:rsidP="006B401D">
      <w:pPr>
        <w:ind w:firstLine="720"/>
      </w:pPr>
      <w:r>
        <w:rPr>
          <w:rFonts w:cs="Times New Roman"/>
          <w:color w:val="222222"/>
          <w:szCs w:val="24"/>
          <w:shd w:val="clear" w:color="auto" w:fill="FFFFFF"/>
        </w:rPr>
        <w:t>The assessments are used different</w:t>
      </w:r>
      <w:r w:rsidR="00D83A2F">
        <w:rPr>
          <w:rFonts w:cs="Times New Roman"/>
          <w:color w:val="222222"/>
          <w:szCs w:val="24"/>
          <w:shd w:val="clear" w:color="auto" w:fill="FFFFFF"/>
        </w:rPr>
        <w:t>ly,</w:t>
      </w:r>
      <w:r>
        <w:rPr>
          <w:rFonts w:cs="Times New Roman"/>
          <w:color w:val="222222"/>
          <w:szCs w:val="24"/>
          <w:shd w:val="clear" w:color="auto" w:fill="FFFFFF"/>
        </w:rPr>
        <w:t xml:space="preserve"> and the commonly used assessment is the decisional balance tool. </w:t>
      </w:r>
      <w:r w:rsidR="00B675BB">
        <w:rPr>
          <w:rFonts w:cs="Times New Roman"/>
          <w:color w:val="222222"/>
          <w:szCs w:val="24"/>
          <w:shd w:val="clear" w:color="auto" w:fill="FFFFFF"/>
        </w:rPr>
        <w:t xml:space="preserve"> This is an </w:t>
      </w:r>
      <w:r w:rsidR="00D83A2F">
        <w:rPr>
          <w:rFonts w:cs="Times New Roman"/>
          <w:color w:val="222222"/>
          <w:szCs w:val="24"/>
          <w:shd w:val="clear" w:color="auto" w:fill="FFFFFF"/>
        </w:rPr>
        <w:t>essential</w:t>
      </w:r>
      <w:r w:rsidR="00B675BB">
        <w:rPr>
          <w:rFonts w:cs="Times New Roman"/>
          <w:color w:val="222222"/>
          <w:szCs w:val="24"/>
          <w:shd w:val="clear" w:color="auto" w:fill="FFFFFF"/>
        </w:rPr>
        <w:t xml:space="preserve"> tool that </w:t>
      </w:r>
      <w:r w:rsidR="00D83A2F">
        <w:rPr>
          <w:rFonts w:cs="Times New Roman"/>
          <w:color w:val="222222"/>
          <w:szCs w:val="24"/>
          <w:shd w:val="clear" w:color="auto" w:fill="FFFFFF"/>
        </w:rPr>
        <w:t>the coaches use</w:t>
      </w:r>
      <w:r w:rsidR="00B675BB">
        <w:rPr>
          <w:rFonts w:cs="Times New Roman"/>
          <w:color w:val="222222"/>
          <w:szCs w:val="24"/>
          <w:shd w:val="clear" w:color="auto" w:fill="FFFFFF"/>
        </w:rPr>
        <w:t xml:space="preserve"> in motivating the interviewers. </w:t>
      </w:r>
      <w:r w:rsidR="007262DB">
        <w:rPr>
          <w:rFonts w:cs="Times New Roman"/>
          <w:color w:val="222222"/>
          <w:szCs w:val="24"/>
          <w:shd w:val="clear" w:color="auto" w:fill="FFFFFF"/>
        </w:rPr>
        <w:t>It is a tool that is featured with different functionalities that ensures that the person being interviewed is motivate</w:t>
      </w:r>
      <w:r w:rsidR="004F4FB3">
        <w:rPr>
          <w:rFonts w:cs="Times New Roman"/>
          <w:color w:val="222222"/>
          <w:szCs w:val="24"/>
          <w:shd w:val="clear" w:color="auto" w:fill="FFFFFF"/>
        </w:rPr>
        <w:t>d to respond to the different questions that they are asked (</w:t>
      </w:r>
      <w:r w:rsidR="001A25D5" w:rsidRPr="00DF5F34">
        <w:rPr>
          <w:rFonts w:cs="Times New Roman"/>
          <w:color w:val="222222"/>
          <w:szCs w:val="24"/>
          <w:shd w:val="clear" w:color="auto" w:fill="FFFFFF"/>
        </w:rPr>
        <w:t>Bhopal</w:t>
      </w:r>
      <w:r w:rsidR="001A25D5">
        <w:rPr>
          <w:rFonts w:cs="Times New Roman"/>
          <w:color w:val="222222"/>
          <w:szCs w:val="24"/>
          <w:shd w:val="clear" w:color="auto" w:fill="FFFFFF"/>
        </w:rPr>
        <w:t>., 2021).</w:t>
      </w:r>
      <w:r w:rsidR="00650A15">
        <w:t xml:space="preserve"> Firstly, it is </w:t>
      </w:r>
      <w:r w:rsidR="00D83A2F">
        <w:t>essential</w:t>
      </w:r>
      <w:r w:rsidR="00650A15">
        <w:t xml:space="preserve"> and known </w:t>
      </w:r>
      <w:r w:rsidR="000827B9">
        <w:t xml:space="preserve">for helping in dealing with ambivalence. It helps the client to move forward to the different stages of change. </w:t>
      </w:r>
      <w:r w:rsidR="00066F8B">
        <w:t xml:space="preserve"> In most case</w:t>
      </w:r>
      <w:r w:rsidR="00D83A2F">
        <w:t>s</w:t>
      </w:r>
      <w:r w:rsidR="00066F8B">
        <w:t xml:space="preserve">, the tool is </w:t>
      </w:r>
      <w:r w:rsidR="00D83A2F">
        <w:t>essential</w:t>
      </w:r>
      <w:r w:rsidR="00066F8B">
        <w:t xml:space="preserve"> and used when the client</w:t>
      </w:r>
      <w:r w:rsidR="00543440">
        <w:t>s</w:t>
      </w:r>
      <w:r w:rsidR="00066F8B">
        <w:t xml:space="preserve"> are in </w:t>
      </w:r>
      <w:r w:rsidR="00D83A2F">
        <w:t xml:space="preserve">the </w:t>
      </w:r>
      <w:r w:rsidR="00066F8B">
        <w:t>c</w:t>
      </w:r>
      <w:r w:rsidR="006B401D">
        <w:t xml:space="preserve">ontemplation stage </w:t>
      </w:r>
      <w:r w:rsidR="00541A91">
        <w:t xml:space="preserve">where it is regarded that </w:t>
      </w:r>
      <w:r w:rsidR="004429E2">
        <w:t>ambivalence</w:t>
      </w:r>
      <w:r w:rsidR="00541A91">
        <w:t xml:space="preserve"> is strongest. </w:t>
      </w:r>
    </w:p>
    <w:p w14:paraId="5E7CCEE0" w14:textId="3EA22D2B" w:rsidR="007A66A3" w:rsidRPr="009D352B" w:rsidRDefault="007C51CD" w:rsidP="006B401D">
      <w:pPr>
        <w:ind w:firstLine="720"/>
      </w:pPr>
      <w:r>
        <w:t>Secondly, the</w:t>
      </w:r>
      <w:r w:rsidR="002C18EB">
        <w:t xml:space="preserve"> tool is used for developing discrepancy. </w:t>
      </w:r>
      <w:r>
        <w:t xml:space="preserve"> Decisional balance is </w:t>
      </w:r>
      <w:r w:rsidR="00D83A2F">
        <w:t>essential</w:t>
      </w:r>
      <w:r>
        <w:t xml:space="preserve"> and helps the client </w:t>
      </w:r>
      <w:r w:rsidR="00D83A2F">
        <w:t>visualize and acknowledge</w:t>
      </w:r>
      <w:r>
        <w:t xml:space="preserve"> </w:t>
      </w:r>
      <w:r w:rsidR="00A035E4">
        <w:t>where the</w:t>
      </w:r>
      <w:r>
        <w:t xml:space="preserve"> individual wants to be or how the</w:t>
      </w:r>
      <w:r w:rsidR="00B95FB0">
        <w:t>y want</w:t>
      </w:r>
      <w:r>
        <w:t xml:space="preserve"> to </w:t>
      </w:r>
      <w:r w:rsidR="00434876">
        <w:t>meet</w:t>
      </w:r>
      <w:r w:rsidR="00C33F4D">
        <w:t xml:space="preserve"> their goals.</w:t>
      </w:r>
      <w:r w:rsidR="000651BF">
        <w:t xml:space="preserve"> Thirdly, in most cases, decisional balance is used </w:t>
      </w:r>
      <w:r w:rsidR="00A035E4">
        <w:t xml:space="preserve">for </w:t>
      </w:r>
      <w:r w:rsidR="009D352B">
        <w:t>eliciting</w:t>
      </w:r>
      <w:r w:rsidR="00A035E4">
        <w:t xml:space="preserve"> change talk from the client</w:t>
      </w:r>
      <w:r w:rsidR="007A4AEA">
        <w:t xml:space="preserve"> (</w:t>
      </w:r>
      <w:r w:rsidR="007A4AEA" w:rsidRPr="00DF5F34">
        <w:rPr>
          <w:rFonts w:cs="Times New Roman"/>
          <w:color w:val="222222"/>
          <w:szCs w:val="24"/>
          <w:shd w:val="clear" w:color="auto" w:fill="FFFFFF"/>
        </w:rPr>
        <w:t>Peña-</w:t>
      </w:r>
      <w:r w:rsidR="0088235E" w:rsidRPr="00DF5F34">
        <w:rPr>
          <w:rFonts w:cs="Times New Roman"/>
          <w:color w:val="222222"/>
          <w:szCs w:val="24"/>
          <w:shd w:val="clear" w:color="auto" w:fill="FFFFFF"/>
        </w:rPr>
        <w:t xml:space="preserve">López, </w:t>
      </w:r>
      <w:r w:rsidR="0088235E">
        <w:rPr>
          <w:rFonts w:cs="Times New Roman"/>
          <w:color w:val="222222"/>
          <w:szCs w:val="24"/>
          <w:shd w:val="clear" w:color="auto" w:fill="FFFFFF"/>
        </w:rPr>
        <w:t>2017</w:t>
      </w:r>
      <w:r w:rsidR="007A4AEA" w:rsidRPr="00DF5F34">
        <w:rPr>
          <w:rFonts w:cs="Times New Roman"/>
          <w:color w:val="222222"/>
          <w:szCs w:val="24"/>
          <w:shd w:val="clear" w:color="auto" w:fill="FFFFFF"/>
        </w:rPr>
        <w:t>)</w:t>
      </w:r>
      <w:r w:rsidR="00A035E4">
        <w:t xml:space="preserve">. </w:t>
      </w:r>
      <w:r w:rsidR="009D352B">
        <w:t xml:space="preserve"> When a client </w:t>
      </w:r>
      <w:r w:rsidR="00D83A2F">
        <w:t>can</w:t>
      </w:r>
      <w:r w:rsidR="009D352B">
        <w:t xml:space="preserve"> </w:t>
      </w:r>
      <w:r w:rsidR="00D83A2F">
        <w:t>develop</w:t>
      </w:r>
      <w:r w:rsidR="009D352B">
        <w:t xml:space="preserve"> their reasons for change, change is likely to occur than when the coach sets up </w:t>
      </w:r>
      <w:r w:rsidR="00D83A2F">
        <w:t>the client's reason</w:t>
      </w:r>
      <w:r w:rsidR="009D352B">
        <w:t xml:space="preserve"> to change.</w:t>
      </w:r>
      <w:r w:rsidR="00506B76">
        <w:t xml:space="preserve"> Lastly, </w:t>
      </w:r>
      <w:r w:rsidR="00D83A2F">
        <w:t xml:space="preserve">the </w:t>
      </w:r>
      <w:r w:rsidR="00506B76">
        <w:t>decisional</w:t>
      </w:r>
      <w:r w:rsidR="0098595F">
        <w:t xml:space="preserve"> balance tool is </w:t>
      </w:r>
      <w:r w:rsidR="00D83A2F">
        <w:t xml:space="preserve">the </w:t>
      </w:r>
      <w:r w:rsidR="0098595F">
        <w:t xml:space="preserve">effect when used for coaching individuals. </w:t>
      </w:r>
      <w:r w:rsidR="00B95FB0">
        <w:t xml:space="preserve">It is also said to be a great tool that helps in </w:t>
      </w:r>
      <w:r w:rsidR="00434876">
        <w:t xml:space="preserve">the </w:t>
      </w:r>
      <w:r w:rsidR="00B95FB0">
        <w:t xml:space="preserve">provision of exercise in a group as it can be an </w:t>
      </w:r>
      <w:r w:rsidR="00434876">
        <w:t>essential</w:t>
      </w:r>
      <w:r w:rsidR="00B95FB0">
        <w:t xml:space="preserve"> tool for getting the whole group to be involved in </w:t>
      </w:r>
      <w:r w:rsidR="00434876">
        <w:t xml:space="preserve">the </w:t>
      </w:r>
      <w:r w:rsidR="00B95FB0">
        <w:t>exchange of talks among the group members (Brüggen et al.</w:t>
      </w:r>
      <w:r w:rsidR="00590AB7">
        <w:rPr>
          <w:rFonts w:cs="Times New Roman"/>
          <w:color w:val="222222"/>
          <w:szCs w:val="24"/>
          <w:shd w:val="clear" w:color="auto" w:fill="FFFFFF"/>
        </w:rPr>
        <w:t>, 2017).</w:t>
      </w:r>
    </w:p>
    <w:p w14:paraId="2400372A" w14:textId="5143F588" w:rsidR="00543440" w:rsidRDefault="00A81CB2" w:rsidP="006B401D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>
        <w:t xml:space="preserve">The decisional balance </w:t>
      </w:r>
      <w:r w:rsidR="00B95FB0">
        <w:t>used was a single document</w:t>
      </w:r>
      <w:r>
        <w:t xml:space="preserve"> </w:t>
      </w:r>
      <w:r w:rsidR="00E14792">
        <w:t>divided</w:t>
      </w:r>
      <w:r>
        <w:t xml:space="preserve"> into </w:t>
      </w:r>
      <w:r w:rsidR="00B95FB0">
        <w:t>four</w:t>
      </w:r>
      <w:r w:rsidR="00E14792">
        <w:t xml:space="preserve"> quadrants that asked four questions. </w:t>
      </w:r>
      <w:r w:rsidR="000D132A">
        <w:t xml:space="preserve">Sustain talks were asked using the left quadrants on the </w:t>
      </w:r>
      <w:r w:rsidR="00D13288">
        <w:t>left</w:t>
      </w:r>
      <w:r w:rsidR="00434876">
        <w:t>,</w:t>
      </w:r>
      <w:r w:rsidR="00D13288">
        <w:t xml:space="preserve"> such</w:t>
      </w:r>
      <w:r w:rsidR="000D132A">
        <w:t xml:space="preserve"> as the good things about not changing a given behavior. </w:t>
      </w:r>
      <w:r w:rsidR="00C725B6">
        <w:t xml:space="preserve"> On the other hand, the second quadrant </w:t>
      </w:r>
      <w:r w:rsidR="00D13288">
        <w:t>on the</w:t>
      </w:r>
      <w:r w:rsidR="00C725B6">
        <w:t xml:space="preserve"> decisional tool is used </w:t>
      </w:r>
      <w:r w:rsidR="00434876">
        <w:t>to represent</w:t>
      </w:r>
      <w:r w:rsidR="00C725B6">
        <w:t xml:space="preserve"> change talk</w:t>
      </w:r>
      <w:r w:rsidR="00D13288">
        <w:t xml:space="preserve"> (</w:t>
      </w:r>
      <w:r w:rsidR="00D13288" w:rsidRPr="00DF5F34">
        <w:rPr>
          <w:rFonts w:cs="Times New Roman"/>
          <w:color w:val="222222"/>
          <w:szCs w:val="24"/>
          <w:shd w:val="clear" w:color="auto" w:fill="FFFFFF"/>
        </w:rPr>
        <w:t>Brüggen</w:t>
      </w:r>
      <w:r w:rsidR="00D13288">
        <w:rPr>
          <w:rFonts w:cs="Times New Roman"/>
          <w:color w:val="222222"/>
          <w:szCs w:val="24"/>
          <w:shd w:val="clear" w:color="auto" w:fill="FFFFFF"/>
        </w:rPr>
        <w:t xml:space="preserve"> et al., 2017).</w:t>
      </w:r>
      <w:r w:rsidR="0088235E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434876">
        <w:rPr>
          <w:rFonts w:cs="Times New Roman"/>
          <w:color w:val="222222"/>
          <w:szCs w:val="24"/>
          <w:shd w:val="clear" w:color="auto" w:fill="FFFFFF"/>
        </w:rPr>
        <w:t>Besides</w:t>
      </w:r>
      <w:r w:rsidR="00225293">
        <w:rPr>
          <w:rFonts w:cs="Times New Roman"/>
          <w:color w:val="222222"/>
          <w:szCs w:val="24"/>
          <w:shd w:val="clear" w:color="auto" w:fill="FFFFFF"/>
        </w:rPr>
        <w:t>,</w:t>
      </w:r>
      <w:r w:rsidR="0088235E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434876">
        <w:rPr>
          <w:rFonts w:cs="Times New Roman"/>
          <w:color w:val="222222"/>
          <w:szCs w:val="24"/>
          <w:shd w:val="clear" w:color="auto" w:fill="FFFFFF"/>
        </w:rPr>
        <w:t>it is essential to note that the questions were asked sequentially,</w:t>
      </w:r>
      <w:r w:rsidR="0088235E">
        <w:rPr>
          <w:rFonts w:cs="Times New Roman"/>
          <w:color w:val="222222"/>
          <w:szCs w:val="24"/>
          <w:shd w:val="clear" w:color="auto" w:fill="FFFFFF"/>
        </w:rPr>
        <w:t xml:space="preserve"> ensuring that th</w:t>
      </w:r>
      <w:r w:rsidR="004758E3">
        <w:rPr>
          <w:rFonts w:cs="Times New Roman"/>
          <w:color w:val="222222"/>
          <w:szCs w:val="24"/>
          <w:shd w:val="clear" w:color="auto" w:fill="FFFFFF"/>
        </w:rPr>
        <w:t xml:space="preserve">e </w:t>
      </w:r>
      <w:r w:rsidR="00383403">
        <w:rPr>
          <w:rFonts w:cs="Times New Roman"/>
          <w:color w:val="222222"/>
          <w:szCs w:val="24"/>
          <w:shd w:val="clear" w:color="auto" w:fill="FFFFFF"/>
        </w:rPr>
        <w:t xml:space="preserve">client responds to the </w:t>
      </w:r>
      <w:r w:rsidR="00434876">
        <w:rPr>
          <w:rFonts w:cs="Times New Roman"/>
          <w:color w:val="222222"/>
          <w:szCs w:val="24"/>
          <w:shd w:val="clear" w:color="auto" w:fill="FFFFFF"/>
        </w:rPr>
        <w:t>problem</w:t>
      </w:r>
      <w:r w:rsidR="00383403">
        <w:rPr>
          <w:rFonts w:cs="Times New Roman"/>
          <w:color w:val="222222"/>
          <w:szCs w:val="24"/>
          <w:shd w:val="clear" w:color="auto" w:fill="FFFFFF"/>
        </w:rPr>
        <w:t xml:space="preserve">s in the most appropriate manner. </w:t>
      </w:r>
      <w:r w:rsidR="00874056">
        <w:rPr>
          <w:rFonts w:cs="Times New Roman"/>
          <w:color w:val="222222"/>
          <w:szCs w:val="24"/>
          <w:shd w:val="clear" w:color="auto" w:fill="FFFFFF"/>
        </w:rPr>
        <w:t xml:space="preserve"> The coach can </w:t>
      </w:r>
      <w:r w:rsidR="00434876">
        <w:rPr>
          <w:rFonts w:cs="Times New Roman"/>
          <w:color w:val="222222"/>
          <w:szCs w:val="24"/>
          <w:shd w:val="clear" w:color="auto" w:fill="FFFFFF"/>
        </w:rPr>
        <w:t>quick</w:t>
      </w:r>
      <w:r w:rsidR="00874056">
        <w:rPr>
          <w:rFonts w:cs="Times New Roman"/>
          <w:color w:val="222222"/>
          <w:szCs w:val="24"/>
          <w:shd w:val="clear" w:color="auto" w:fill="FFFFFF"/>
        </w:rPr>
        <w:t xml:space="preserve">ly gain the </w:t>
      </w:r>
      <w:r w:rsidR="00434876">
        <w:rPr>
          <w:rFonts w:cs="Times New Roman"/>
          <w:color w:val="222222"/>
          <w:szCs w:val="24"/>
          <w:shd w:val="clear" w:color="auto" w:fill="FFFFFF"/>
        </w:rPr>
        <w:t>vital information,</w:t>
      </w:r>
      <w:r w:rsidR="00874056">
        <w:rPr>
          <w:rFonts w:cs="Times New Roman"/>
          <w:color w:val="222222"/>
          <w:szCs w:val="24"/>
          <w:shd w:val="clear" w:color="auto" w:fill="FFFFFF"/>
        </w:rPr>
        <w:t xml:space="preserve"> and they want to get from the individuals. </w:t>
      </w:r>
      <w:r w:rsidR="00151164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296E148B" w14:textId="6F90F86F" w:rsidR="00C844BA" w:rsidRDefault="00C844BA" w:rsidP="006B401D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The second questions used in this case </w:t>
      </w:r>
      <w:r w:rsidR="00190ED1">
        <w:rPr>
          <w:rFonts w:cs="Times New Roman"/>
          <w:color w:val="222222"/>
          <w:szCs w:val="24"/>
          <w:shd w:val="clear" w:color="auto" w:fill="FFFFFF"/>
        </w:rPr>
        <w:t xml:space="preserve">can easily cause ambivalence as </w:t>
      </w:r>
      <w:r w:rsidR="005E09B4">
        <w:rPr>
          <w:rFonts w:cs="Times New Roman"/>
          <w:color w:val="222222"/>
          <w:szCs w:val="24"/>
          <w:shd w:val="clear" w:color="auto" w:fill="FFFFFF"/>
        </w:rPr>
        <w:t>they</w:t>
      </w:r>
      <w:r w:rsidR="00190ED1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5E09B4">
        <w:rPr>
          <w:rFonts w:cs="Times New Roman"/>
          <w:color w:val="222222"/>
          <w:szCs w:val="24"/>
          <w:shd w:val="clear" w:color="auto" w:fill="FFFFFF"/>
        </w:rPr>
        <w:t>a</w:t>
      </w:r>
      <w:r w:rsidR="00190ED1">
        <w:rPr>
          <w:rFonts w:cs="Times New Roman"/>
          <w:color w:val="222222"/>
          <w:szCs w:val="24"/>
          <w:shd w:val="clear" w:color="auto" w:fill="FFFFFF"/>
        </w:rPr>
        <w:t xml:space="preserve">re the questions that involve change among the client. Asking </w:t>
      </w:r>
      <w:r w:rsidR="00151164">
        <w:rPr>
          <w:rFonts w:cs="Times New Roman"/>
          <w:color w:val="222222"/>
          <w:szCs w:val="24"/>
          <w:shd w:val="clear" w:color="auto" w:fill="FFFFFF"/>
        </w:rPr>
        <w:t>client these</w:t>
      </w:r>
      <w:r w:rsidR="00EC7F57">
        <w:rPr>
          <w:rFonts w:cs="Times New Roman"/>
          <w:color w:val="222222"/>
          <w:szCs w:val="24"/>
          <w:shd w:val="clear" w:color="auto" w:fill="FFFFFF"/>
        </w:rPr>
        <w:t xml:space="preserve"> question</w:t>
      </w:r>
      <w:r w:rsidR="008A1119">
        <w:rPr>
          <w:rFonts w:cs="Times New Roman"/>
          <w:color w:val="222222"/>
          <w:szCs w:val="24"/>
          <w:shd w:val="clear" w:color="auto" w:fill="FFFFFF"/>
        </w:rPr>
        <w:t xml:space="preserve">s </w:t>
      </w:r>
      <w:r w:rsidR="00EC7F57">
        <w:rPr>
          <w:rFonts w:cs="Times New Roman"/>
          <w:color w:val="222222"/>
          <w:szCs w:val="24"/>
          <w:shd w:val="clear" w:color="auto" w:fill="FFFFFF"/>
        </w:rPr>
        <w:t xml:space="preserve">something </w:t>
      </w:r>
      <w:r w:rsidR="00600E75">
        <w:rPr>
          <w:rFonts w:cs="Times New Roman"/>
          <w:color w:val="222222"/>
          <w:szCs w:val="24"/>
          <w:shd w:val="clear" w:color="auto" w:fill="FFFFFF"/>
        </w:rPr>
        <w:t>could</w:t>
      </w:r>
      <w:r w:rsidR="00EC7F57">
        <w:rPr>
          <w:rFonts w:cs="Times New Roman"/>
          <w:color w:val="222222"/>
          <w:szCs w:val="24"/>
          <w:shd w:val="clear" w:color="auto" w:fill="FFFFFF"/>
        </w:rPr>
        <w:t xml:space="preserve"> make them not be willing to respond to the </w:t>
      </w:r>
      <w:r w:rsidR="00434876">
        <w:rPr>
          <w:rFonts w:cs="Times New Roman"/>
          <w:color w:val="222222"/>
          <w:szCs w:val="24"/>
          <w:shd w:val="clear" w:color="auto" w:fill="FFFFFF"/>
        </w:rPr>
        <w:t>problem</w:t>
      </w:r>
      <w:r w:rsidR="00EC7F57">
        <w:rPr>
          <w:rFonts w:cs="Times New Roman"/>
          <w:color w:val="222222"/>
          <w:szCs w:val="24"/>
          <w:shd w:val="clear" w:color="auto" w:fill="FFFFFF"/>
        </w:rPr>
        <w:t xml:space="preserve">. </w:t>
      </w:r>
      <w:r w:rsidR="005B4C1E">
        <w:rPr>
          <w:rFonts w:cs="Times New Roman"/>
          <w:color w:val="222222"/>
          <w:szCs w:val="24"/>
          <w:shd w:val="clear" w:color="auto" w:fill="FFFFFF"/>
        </w:rPr>
        <w:t xml:space="preserve">Patients often tend to visualize the change and the </w:t>
      </w:r>
      <w:r w:rsidR="00434876">
        <w:rPr>
          <w:rFonts w:cs="Times New Roman"/>
          <w:color w:val="222222"/>
          <w:szCs w:val="24"/>
          <w:shd w:val="clear" w:color="auto" w:fill="FFFFFF"/>
        </w:rPr>
        <w:t>box's question,</w:t>
      </w:r>
      <w:r w:rsidR="005B4C1E">
        <w:rPr>
          <w:rFonts w:cs="Times New Roman"/>
          <w:color w:val="222222"/>
          <w:szCs w:val="24"/>
          <w:shd w:val="clear" w:color="auto" w:fill="FFFFFF"/>
        </w:rPr>
        <w:t xml:space="preserve"> so they start being resistant.</w:t>
      </w:r>
      <w:r w:rsidR="00B21869">
        <w:rPr>
          <w:rFonts w:cs="Times New Roman"/>
          <w:color w:val="222222"/>
          <w:szCs w:val="24"/>
          <w:shd w:val="clear" w:color="auto" w:fill="FFFFFF"/>
        </w:rPr>
        <w:t xml:space="preserve"> Thirdly, questions related to the client not wanting to change the behavior</w:t>
      </w:r>
      <w:r w:rsidR="002C59B0">
        <w:rPr>
          <w:rFonts w:cs="Times New Roman"/>
          <w:color w:val="222222"/>
          <w:szCs w:val="24"/>
          <w:shd w:val="clear" w:color="auto" w:fill="FFFFFF"/>
        </w:rPr>
        <w:t xml:space="preserve"> as the coach checks on the other side of the story (</w:t>
      </w:r>
      <w:r w:rsidR="00795403" w:rsidRPr="00DF5F34">
        <w:rPr>
          <w:rFonts w:cs="Times New Roman"/>
          <w:color w:val="222222"/>
          <w:szCs w:val="24"/>
          <w:shd w:val="clear" w:color="auto" w:fill="FFFFFF"/>
        </w:rPr>
        <w:t>Peña-López,</w:t>
      </w:r>
      <w:r w:rsidR="00795403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795403" w:rsidRPr="00DF5F34">
        <w:rPr>
          <w:rFonts w:cs="Times New Roman"/>
          <w:color w:val="222222"/>
          <w:szCs w:val="24"/>
          <w:shd w:val="clear" w:color="auto" w:fill="FFFFFF"/>
        </w:rPr>
        <w:t>2017).</w:t>
      </w:r>
      <w:r w:rsidR="00151164">
        <w:rPr>
          <w:rFonts w:cs="Times New Roman"/>
          <w:color w:val="222222"/>
          <w:szCs w:val="24"/>
          <w:shd w:val="clear" w:color="auto" w:fill="FFFFFF"/>
        </w:rPr>
        <w:t xml:space="preserve"> The question aimed at revealing fear and discomfort that comes </w:t>
      </w:r>
      <w:r w:rsidR="00A57FC3">
        <w:rPr>
          <w:rFonts w:cs="Times New Roman"/>
          <w:color w:val="222222"/>
          <w:szCs w:val="24"/>
          <w:shd w:val="clear" w:color="auto" w:fill="FFFFFF"/>
        </w:rPr>
        <w:t>with</w:t>
      </w:r>
      <w:r w:rsidR="00151164">
        <w:rPr>
          <w:rFonts w:cs="Times New Roman"/>
          <w:color w:val="222222"/>
          <w:szCs w:val="24"/>
          <w:shd w:val="clear" w:color="auto" w:fill="FFFFFF"/>
        </w:rPr>
        <w:t xml:space="preserve"> changing the behavior. </w:t>
      </w:r>
      <w:r w:rsidR="00A57FC3">
        <w:rPr>
          <w:rFonts w:cs="Times New Roman"/>
          <w:color w:val="222222"/>
          <w:szCs w:val="24"/>
          <w:shd w:val="clear" w:color="auto" w:fill="FFFFFF"/>
        </w:rPr>
        <w:t>Lastly, the fourth question w</w:t>
      </w:r>
      <w:r w:rsidR="00434876">
        <w:rPr>
          <w:rFonts w:cs="Times New Roman"/>
          <w:color w:val="222222"/>
          <w:szCs w:val="24"/>
          <w:shd w:val="clear" w:color="auto" w:fill="FFFFFF"/>
        </w:rPr>
        <w:t>as</w:t>
      </w:r>
      <w:r w:rsidR="00A57FC3">
        <w:rPr>
          <w:rFonts w:cs="Times New Roman"/>
          <w:color w:val="222222"/>
          <w:szCs w:val="24"/>
          <w:shd w:val="clear" w:color="auto" w:fill="FFFFFF"/>
        </w:rPr>
        <w:t xml:space="preserve"> significant and applied for </w:t>
      </w:r>
      <w:r w:rsidR="00A16FD4">
        <w:rPr>
          <w:rFonts w:cs="Times New Roman"/>
          <w:color w:val="222222"/>
          <w:szCs w:val="24"/>
          <w:shd w:val="clear" w:color="auto" w:fill="FFFFFF"/>
        </w:rPr>
        <w:t xml:space="preserve">showing the good things about changing. The result showed that the tool is </w:t>
      </w:r>
      <w:r w:rsidR="00434876">
        <w:rPr>
          <w:rFonts w:cs="Times New Roman"/>
          <w:color w:val="222222"/>
          <w:szCs w:val="24"/>
          <w:shd w:val="clear" w:color="auto" w:fill="FFFFFF"/>
        </w:rPr>
        <w:t>essential</w:t>
      </w:r>
      <w:r w:rsidR="00A16FD4">
        <w:rPr>
          <w:rFonts w:cs="Times New Roman"/>
          <w:color w:val="222222"/>
          <w:szCs w:val="24"/>
          <w:shd w:val="clear" w:color="auto" w:fill="FFFFFF"/>
        </w:rPr>
        <w:t xml:space="preserve"> and helps motivate the client </w:t>
      </w:r>
      <w:r w:rsidR="00434876">
        <w:rPr>
          <w:rFonts w:cs="Times New Roman"/>
          <w:color w:val="222222"/>
          <w:szCs w:val="24"/>
          <w:shd w:val="clear" w:color="auto" w:fill="FFFFFF"/>
        </w:rPr>
        <w:t>to change</w:t>
      </w:r>
      <w:r w:rsidR="00A16FD4">
        <w:rPr>
          <w:rFonts w:cs="Times New Roman"/>
          <w:color w:val="222222"/>
          <w:szCs w:val="24"/>
          <w:shd w:val="clear" w:color="auto" w:fill="FFFFFF"/>
        </w:rPr>
        <w:t xml:space="preserve"> their </w:t>
      </w:r>
      <w:r w:rsidR="000F4345">
        <w:rPr>
          <w:rFonts w:cs="Times New Roman"/>
          <w:color w:val="222222"/>
          <w:szCs w:val="24"/>
          <w:shd w:val="clear" w:color="auto" w:fill="FFFFFF"/>
        </w:rPr>
        <w:t>behavior</w:t>
      </w:r>
      <w:r w:rsidR="00A16FD4">
        <w:rPr>
          <w:rFonts w:cs="Times New Roman"/>
          <w:color w:val="222222"/>
          <w:szCs w:val="24"/>
          <w:shd w:val="clear" w:color="auto" w:fill="FFFFFF"/>
        </w:rPr>
        <w:t xml:space="preserve"> or minds. </w:t>
      </w:r>
    </w:p>
    <w:p w14:paraId="0EA89B5F" w14:textId="3122DDBD" w:rsidR="000F4345" w:rsidRDefault="000F4345" w:rsidP="006B401D">
      <w:pPr>
        <w:ind w:firstLine="720"/>
      </w:pPr>
      <w:r>
        <w:rPr>
          <w:rFonts w:cs="Times New Roman"/>
          <w:color w:val="222222"/>
          <w:szCs w:val="24"/>
          <w:shd w:val="clear" w:color="auto" w:fill="FFFFFF"/>
        </w:rPr>
        <w:t xml:space="preserve">In conclusion, </w:t>
      </w:r>
      <w:r w:rsidR="006F18E4">
        <w:rPr>
          <w:rFonts w:cs="Times New Roman"/>
          <w:color w:val="222222"/>
          <w:szCs w:val="24"/>
          <w:shd w:val="clear" w:color="auto" w:fill="FFFFFF"/>
        </w:rPr>
        <w:t xml:space="preserve">the tool is </w:t>
      </w:r>
      <w:r w:rsidR="00434876">
        <w:rPr>
          <w:rFonts w:cs="Times New Roman"/>
          <w:color w:val="222222"/>
          <w:szCs w:val="24"/>
          <w:shd w:val="clear" w:color="auto" w:fill="FFFFFF"/>
        </w:rPr>
        <w:t>essential</w:t>
      </w:r>
      <w:r w:rsidR="006F18E4">
        <w:rPr>
          <w:rFonts w:cs="Times New Roman"/>
          <w:color w:val="222222"/>
          <w:szCs w:val="24"/>
          <w:shd w:val="clear" w:color="auto" w:fill="FFFFFF"/>
        </w:rPr>
        <w:t xml:space="preserve"> and helps the client </w:t>
      </w:r>
      <w:r w:rsidR="00961701">
        <w:rPr>
          <w:rFonts w:cs="Times New Roman"/>
          <w:color w:val="222222"/>
          <w:szCs w:val="24"/>
          <w:shd w:val="clear" w:color="auto" w:fill="FFFFFF"/>
        </w:rPr>
        <w:t>understand the importance of change and motivates them to ensure that they can show their problem and how</w:t>
      </w:r>
      <w:r w:rsidR="00434876">
        <w:rPr>
          <w:rFonts w:cs="Times New Roman"/>
          <w:color w:val="222222"/>
          <w:szCs w:val="24"/>
          <w:shd w:val="clear" w:color="auto" w:fill="FFFFFF"/>
        </w:rPr>
        <w:t xml:space="preserve"> they want to be </w:t>
      </w:r>
      <w:r w:rsidR="00961701">
        <w:rPr>
          <w:rFonts w:cs="Times New Roman"/>
          <w:color w:val="222222"/>
          <w:szCs w:val="24"/>
          <w:shd w:val="clear" w:color="auto" w:fill="FFFFFF"/>
        </w:rPr>
        <w:t>enabl</w:t>
      </w:r>
      <w:r w:rsidR="00434876">
        <w:rPr>
          <w:rFonts w:cs="Times New Roman"/>
          <w:color w:val="222222"/>
          <w:szCs w:val="24"/>
          <w:shd w:val="clear" w:color="auto" w:fill="FFFFFF"/>
        </w:rPr>
        <w:t>ed. Assessment tools are vital in this case and measure</w:t>
      </w:r>
      <w:r w:rsidR="00961701">
        <w:rPr>
          <w:rFonts w:cs="Times New Roman"/>
          <w:color w:val="222222"/>
          <w:szCs w:val="24"/>
          <w:shd w:val="clear" w:color="auto" w:fill="FFFFFF"/>
        </w:rPr>
        <w:t xml:space="preserve"> the client's readiness</w:t>
      </w:r>
      <w:r w:rsidR="00434876">
        <w:rPr>
          <w:rFonts w:cs="Times New Roman"/>
          <w:color w:val="222222"/>
          <w:szCs w:val="24"/>
          <w:shd w:val="clear" w:color="auto" w:fill="FFFFFF"/>
        </w:rPr>
        <w:t xml:space="preserve"> to respond to the question.</w:t>
      </w:r>
    </w:p>
    <w:p w14:paraId="508C5EE4" w14:textId="1DC03271" w:rsidR="00BF3E74" w:rsidRDefault="00BF3E74" w:rsidP="00BF3E74"/>
    <w:p w14:paraId="715BCE66" w14:textId="6A0A057B" w:rsidR="00961701" w:rsidRDefault="00961701" w:rsidP="00BF3E74"/>
    <w:p w14:paraId="1D812537" w14:textId="7E7D672C" w:rsidR="00961701" w:rsidRDefault="00961701" w:rsidP="00BF3E74"/>
    <w:p w14:paraId="2BEC0C08" w14:textId="19964AED" w:rsidR="00961701" w:rsidRDefault="00961701" w:rsidP="00BF3E74"/>
    <w:p w14:paraId="35C52C88" w14:textId="684A2D5A" w:rsidR="00961701" w:rsidRDefault="00961701" w:rsidP="00BF3E74"/>
    <w:p w14:paraId="00BACEA2" w14:textId="1995D6C6" w:rsidR="00961701" w:rsidRDefault="00961701" w:rsidP="00BF3E74"/>
    <w:p w14:paraId="245D2D12" w14:textId="2596C0ED" w:rsidR="00961701" w:rsidRDefault="00961701" w:rsidP="00BF3E74"/>
    <w:p w14:paraId="23741AD4" w14:textId="3836073A" w:rsidR="00961701" w:rsidRDefault="00961701" w:rsidP="00BF3E74"/>
    <w:p w14:paraId="0BC013DA" w14:textId="62C650D5" w:rsidR="00961701" w:rsidRDefault="00961701" w:rsidP="00BF3E74"/>
    <w:p w14:paraId="6D17F5E2" w14:textId="4B40DEA1" w:rsidR="00961701" w:rsidRDefault="00961701" w:rsidP="00BF3E74"/>
    <w:p w14:paraId="12A9A653" w14:textId="115E7DD8" w:rsidR="00961701" w:rsidRDefault="00961701" w:rsidP="00BF3E74"/>
    <w:p w14:paraId="02C7FCCF" w14:textId="77777777" w:rsidR="00961701" w:rsidRDefault="00961701" w:rsidP="00BF3E74">
      <w:bookmarkStart w:id="0" w:name="_GoBack"/>
      <w:bookmarkEnd w:id="0"/>
    </w:p>
    <w:p w14:paraId="7B348856" w14:textId="6D2238E4" w:rsidR="00BF3E74" w:rsidRDefault="00BF3E74" w:rsidP="00DF5F34">
      <w:pPr>
        <w:jc w:val="center"/>
      </w:pPr>
      <w:r>
        <w:t>References</w:t>
      </w:r>
    </w:p>
    <w:p w14:paraId="590C545F" w14:textId="77777777" w:rsidR="00DF5F34" w:rsidRPr="00DF5F34" w:rsidRDefault="00DF5F34" w:rsidP="00DF5F34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DF5F34">
        <w:rPr>
          <w:rFonts w:cs="Times New Roman"/>
          <w:color w:val="222222"/>
          <w:szCs w:val="24"/>
          <w:shd w:val="clear" w:color="auto" w:fill="FFFFFF"/>
        </w:rPr>
        <w:t>Bhopal, S., Buckland, A., McCrone, R., Villis, A. I., &amp; Owens, S. (2021). Who has been missed? Dramatic decrease in numbers of children seen for child protection assessments during the pandemic. </w:t>
      </w:r>
      <w:r w:rsidRPr="00DF5F34">
        <w:rPr>
          <w:rFonts w:cs="Times New Roman"/>
          <w:i/>
          <w:iCs/>
          <w:color w:val="222222"/>
          <w:szCs w:val="24"/>
          <w:shd w:val="clear" w:color="auto" w:fill="FFFFFF"/>
        </w:rPr>
        <w:t>Archives of disease in childhood</w:t>
      </w:r>
      <w:r w:rsidRPr="00DF5F34">
        <w:rPr>
          <w:rFonts w:cs="Times New Roman"/>
          <w:color w:val="222222"/>
          <w:szCs w:val="24"/>
          <w:shd w:val="clear" w:color="auto" w:fill="FFFFFF"/>
        </w:rPr>
        <w:t>, </w:t>
      </w:r>
      <w:r w:rsidRPr="00DF5F34">
        <w:rPr>
          <w:rFonts w:cs="Times New Roman"/>
          <w:i/>
          <w:iCs/>
          <w:color w:val="222222"/>
          <w:szCs w:val="24"/>
          <w:shd w:val="clear" w:color="auto" w:fill="FFFFFF"/>
        </w:rPr>
        <w:t>106</w:t>
      </w:r>
      <w:r w:rsidRPr="00DF5F34">
        <w:rPr>
          <w:rFonts w:cs="Times New Roman"/>
          <w:color w:val="222222"/>
          <w:szCs w:val="24"/>
          <w:shd w:val="clear" w:color="auto" w:fill="FFFFFF"/>
        </w:rPr>
        <w:t>(2), e6-e6.</w:t>
      </w:r>
    </w:p>
    <w:p w14:paraId="490D9E3F" w14:textId="77777777" w:rsidR="00DF5F34" w:rsidRPr="00DF5F34" w:rsidRDefault="00DF5F34" w:rsidP="00DF5F34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DF5F34">
        <w:rPr>
          <w:rFonts w:cs="Times New Roman"/>
          <w:color w:val="222222"/>
          <w:szCs w:val="24"/>
          <w:shd w:val="clear" w:color="auto" w:fill="FFFFFF"/>
        </w:rPr>
        <w:t>Brüggen, E. C., Hogreve, J., Holmlund, M., Kabadayi, S., &amp; Löfgren, M. (2017). Financial well-being: A conceptualization and research agenda. </w:t>
      </w:r>
      <w:r w:rsidRPr="00DF5F34">
        <w:rPr>
          <w:rFonts w:cs="Times New Roman"/>
          <w:i/>
          <w:iCs/>
          <w:color w:val="222222"/>
          <w:szCs w:val="24"/>
          <w:shd w:val="clear" w:color="auto" w:fill="FFFFFF"/>
        </w:rPr>
        <w:t>Journal of Business Research</w:t>
      </w:r>
      <w:r w:rsidRPr="00DF5F34">
        <w:rPr>
          <w:rFonts w:cs="Times New Roman"/>
          <w:color w:val="222222"/>
          <w:szCs w:val="24"/>
          <w:shd w:val="clear" w:color="auto" w:fill="FFFFFF"/>
        </w:rPr>
        <w:t>, </w:t>
      </w:r>
      <w:r w:rsidRPr="00DF5F34">
        <w:rPr>
          <w:rFonts w:cs="Times New Roman"/>
          <w:i/>
          <w:iCs/>
          <w:color w:val="222222"/>
          <w:szCs w:val="24"/>
          <w:shd w:val="clear" w:color="auto" w:fill="FFFFFF"/>
        </w:rPr>
        <w:t>79</w:t>
      </w:r>
      <w:r w:rsidRPr="00DF5F34">
        <w:rPr>
          <w:rFonts w:cs="Times New Roman"/>
          <w:color w:val="222222"/>
          <w:szCs w:val="24"/>
          <w:shd w:val="clear" w:color="auto" w:fill="FFFFFF"/>
        </w:rPr>
        <w:t>, 228-237.</w:t>
      </w:r>
    </w:p>
    <w:p w14:paraId="2A7CB9A5" w14:textId="77777777" w:rsidR="00DF5F34" w:rsidRPr="00DF5F34" w:rsidRDefault="00DF5F34" w:rsidP="00DF5F34">
      <w:pPr>
        <w:ind w:left="720" w:hanging="720"/>
        <w:rPr>
          <w:rFonts w:cs="Times New Roman"/>
          <w:szCs w:val="24"/>
        </w:rPr>
      </w:pPr>
      <w:r w:rsidRPr="00DF5F34">
        <w:rPr>
          <w:rFonts w:cs="Times New Roman"/>
          <w:color w:val="222222"/>
          <w:szCs w:val="24"/>
          <w:shd w:val="clear" w:color="auto" w:fill="FFFFFF"/>
        </w:rPr>
        <w:t>Peña-López, I. (2017). PISA 2015 Results (Volume III). Students' Well-Being.</w:t>
      </w:r>
    </w:p>
    <w:p w14:paraId="21C544DD" w14:textId="77777777" w:rsidR="001E4556" w:rsidRDefault="001E4556" w:rsidP="001E4556"/>
    <w:sectPr w:rsidR="001E4556" w:rsidSect="001E455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A8EEB" w14:textId="77777777" w:rsidR="007D7ACB" w:rsidRDefault="007D7ACB" w:rsidP="001E4556">
      <w:pPr>
        <w:spacing w:line="240" w:lineRule="auto"/>
      </w:pPr>
      <w:r>
        <w:separator/>
      </w:r>
    </w:p>
  </w:endnote>
  <w:endnote w:type="continuationSeparator" w:id="0">
    <w:p w14:paraId="5AE29AAF" w14:textId="77777777" w:rsidR="007D7ACB" w:rsidRDefault="007D7ACB" w:rsidP="001E4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B9949" w14:textId="77777777" w:rsidR="007D7ACB" w:rsidRDefault="007D7ACB" w:rsidP="001E4556">
      <w:pPr>
        <w:spacing w:line="240" w:lineRule="auto"/>
      </w:pPr>
      <w:r>
        <w:separator/>
      </w:r>
    </w:p>
  </w:footnote>
  <w:footnote w:type="continuationSeparator" w:id="0">
    <w:p w14:paraId="64EE35C6" w14:textId="77777777" w:rsidR="007D7ACB" w:rsidRDefault="007D7ACB" w:rsidP="001E4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10324" w14:textId="44D35206" w:rsidR="00B95FB0" w:rsidRDefault="00B95FB0" w:rsidP="001E4556">
    <w:pPr>
      <w:pStyle w:val="Header"/>
    </w:pPr>
    <w:r>
      <w:t>ASSESSMENT FOR COACHING</w:t>
    </w:r>
    <w:r>
      <w:tab/>
    </w:r>
    <w:r>
      <w:tab/>
    </w:r>
    <w:sdt>
      <w:sdtPr>
        <w:id w:val="11322870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A9D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1C3F893D" w14:textId="77777777" w:rsidR="00B95FB0" w:rsidRDefault="00B95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FD4E7" w14:textId="0AAFE982" w:rsidR="00B95FB0" w:rsidRDefault="00B95FB0" w:rsidP="001E4556">
    <w:pPr>
      <w:pStyle w:val="Header"/>
    </w:pPr>
    <w:r>
      <w:t xml:space="preserve">Running head: ASSESSMENT FOR COACHING </w:t>
    </w:r>
    <w:r>
      <w:tab/>
    </w:r>
    <w:sdt>
      <w:sdtPr>
        <w:id w:val="-17820968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C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60527DE" w14:textId="77777777" w:rsidR="00B95FB0" w:rsidRDefault="00B95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DE2NjYzNTA3NDVS0lEKTi0uzszPAykwrAUARL6sLSwAAAA="/>
  </w:docVars>
  <w:rsids>
    <w:rsidRoot w:val="001E4556"/>
    <w:rsid w:val="000651BF"/>
    <w:rsid w:val="00066F8B"/>
    <w:rsid w:val="000827B9"/>
    <w:rsid w:val="000852F3"/>
    <w:rsid w:val="000928F4"/>
    <w:rsid w:val="000D132A"/>
    <w:rsid w:val="000F4345"/>
    <w:rsid w:val="00110938"/>
    <w:rsid w:val="00124BA5"/>
    <w:rsid w:val="00151164"/>
    <w:rsid w:val="00190ED1"/>
    <w:rsid w:val="00194D23"/>
    <w:rsid w:val="001A25D5"/>
    <w:rsid w:val="001E4556"/>
    <w:rsid w:val="00225293"/>
    <w:rsid w:val="00225A02"/>
    <w:rsid w:val="002C18EB"/>
    <w:rsid w:val="002C59B0"/>
    <w:rsid w:val="002F264E"/>
    <w:rsid w:val="0031750C"/>
    <w:rsid w:val="00383403"/>
    <w:rsid w:val="00422661"/>
    <w:rsid w:val="00434876"/>
    <w:rsid w:val="004429E2"/>
    <w:rsid w:val="00455438"/>
    <w:rsid w:val="004758E3"/>
    <w:rsid w:val="004C114F"/>
    <w:rsid w:val="004E4282"/>
    <w:rsid w:val="004F4FB3"/>
    <w:rsid w:val="004F7DD1"/>
    <w:rsid w:val="00506B76"/>
    <w:rsid w:val="00541A91"/>
    <w:rsid w:val="00543440"/>
    <w:rsid w:val="00590AB7"/>
    <w:rsid w:val="005B4C1E"/>
    <w:rsid w:val="005E09B4"/>
    <w:rsid w:val="005F1A5F"/>
    <w:rsid w:val="00600E75"/>
    <w:rsid w:val="0061282E"/>
    <w:rsid w:val="00620CBC"/>
    <w:rsid w:val="00650A15"/>
    <w:rsid w:val="006827D3"/>
    <w:rsid w:val="006B401D"/>
    <w:rsid w:val="006F1444"/>
    <w:rsid w:val="006F18E4"/>
    <w:rsid w:val="007262DB"/>
    <w:rsid w:val="00795403"/>
    <w:rsid w:val="007A4AEA"/>
    <w:rsid w:val="007A66A3"/>
    <w:rsid w:val="007C51CD"/>
    <w:rsid w:val="007D7ACB"/>
    <w:rsid w:val="00874056"/>
    <w:rsid w:val="0088235E"/>
    <w:rsid w:val="008A1119"/>
    <w:rsid w:val="008B3F41"/>
    <w:rsid w:val="008B3FE6"/>
    <w:rsid w:val="009164DE"/>
    <w:rsid w:val="00961701"/>
    <w:rsid w:val="0098595F"/>
    <w:rsid w:val="009D352B"/>
    <w:rsid w:val="00A035E4"/>
    <w:rsid w:val="00A16FD4"/>
    <w:rsid w:val="00A57FC3"/>
    <w:rsid w:val="00A81CB2"/>
    <w:rsid w:val="00AB1569"/>
    <w:rsid w:val="00B21869"/>
    <w:rsid w:val="00B675BB"/>
    <w:rsid w:val="00B95FB0"/>
    <w:rsid w:val="00BF3E74"/>
    <w:rsid w:val="00C17476"/>
    <w:rsid w:val="00C33F4D"/>
    <w:rsid w:val="00C725B6"/>
    <w:rsid w:val="00C844BA"/>
    <w:rsid w:val="00CB7E90"/>
    <w:rsid w:val="00D13288"/>
    <w:rsid w:val="00D20A9D"/>
    <w:rsid w:val="00D714AA"/>
    <w:rsid w:val="00D83A2F"/>
    <w:rsid w:val="00DA0BD3"/>
    <w:rsid w:val="00DF4BE8"/>
    <w:rsid w:val="00DF5F34"/>
    <w:rsid w:val="00E14792"/>
    <w:rsid w:val="00E167D9"/>
    <w:rsid w:val="00E25988"/>
    <w:rsid w:val="00E54623"/>
    <w:rsid w:val="00E75C38"/>
    <w:rsid w:val="00EC7F57"/>
    <w:rsid w:val="00F5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EB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56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5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4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5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56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5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4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5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2021-02-12T13:04:00Z</dcterms:created>
  <dcterms:modified xsi:type="dcterms:W3CDTF">2021-02-12T13:04:00Z</dcterms:modified>
</cp:coreProperties>
</file>